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5C626" w14:textId="7F4AABD6" w:rsidR="00EB792B" w:rsidRDefault="00251890" w:rsidP="0077310D">
      <w:pPr>
        <w:spacing w:after="0" w:line="360" w:lineRule="auto"/>
        <w:ind w:right="566" w:firstLine="284"/>
        <w:jc w:val="center"/>
        <w:rPr>
          <w:rFonts w:ascii="DIN Pro Regular" w:hAnsi="DIN Pro Regular" w:cs="DIN Pro Regular"/>
          <w:b/>
          <w:bCs/>
          <w:sz w:val="28"/>
          <w:szCs w:val="28"/>
        </w:rPr>
      </w:pPr>
      <w:bookmarkStart w:id="0" w:name="_Hlk89446473"/>
      <w:r>
        <w:rPr>
          <w:rFonts w:ascii="DIN Pro Regular" w:hAnsi="DIN Pro Regular" w:cs="DIN Pro Regular"/>
          <w:b/>
          <w:bCs/>
          <w:sz w:val="28"/>
          <w:szCs w:val="28"/>
        </w:rPr>
        <w:t xml:space="preserve"> </w:t>
      </w:r>
      <w:r w:rsidR="005A5BD3">
        <w:rPr>
          <w:rFonts w:ascii="DIN Pro Regular" w:hAnsi="DIN Pro Regular" w:cs="DIN Pro Regular"/>
          <w:b/>
          <w:bCs/>
          <w:noProof/>
          <w:sz w:val="28"/>
          <w:szCs w:val="28"/>
          <w:lang w:eastAsia="ru-RU"/>
        </w:rPr>
        <w:drawing>
          <wp:inline distT="0" distB="0" distL="0" distR="0" wp14:anchorId="6D029598" wp14:editId="02FA5E00">
            <wp:extent cx="1718546" cy="1689705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867" cy="1716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9E2BB96" w14:textId="77777777" w:rsidR="00231B7A" w:rsidRPr="00A60FDB" w:rsidRDefault="00231B7A" w:rsidP="00231B7A">
      <w:pPr>
        <w:spacing w:after="0" w:line="360" w:lineRule="auto"/>
        <w:ind w:right="566" w:firstLine="284"/>
        <w:jc w:val="center"/>
        <w:rPr>
          <w:rFonts w:ascii="DIN Pro Regular" w:hAnsi="DIN Pro Regular" w:cs="DIN Pro Regular"/>
          <w:b/>
          <w:bCs/>
          <w:sz w:val="28"/>
          <w:szCs w:val="28"/>
        </w:rPr>
      </w:pPr>
      <w:r w:rsidRPr="00A60FDB">
        <w:rPr>
          <w:rFonts w:ascii="DIN Pro Regular" w:hAnsi="DIN Pro Regular" w:cs="DIN Pro Regular"/>
          <w:b/>
          <w:bCs/>
          <w:sz w:val="28"/>
          <w:szCs w:val="28"/>
        </w:rPr>
        <w:t>Первенство ОАО «РЖД»</w:t>
      </w:r>
    </w:p>
    <w:p w14:paraId="4A43370B" w14:textId="77777777" w:rsidR="00231B7A" w:rsidRPr="00A60FDB" w:rsidRDefault="00231B7A" w:rsidP="00231B7A">
      <w:pPr>
        <w:spacing w:after="0" w:line="360" w:lineRule="auto"/>
        <w:ind w:right="566" w:firstLine="284"/>
        <w:jc w:val="center"/>
        <w:rPr>
          <w:rFonts w:ascii="DIN Pro Regular" w:hAnsi="DIN Pro Regular" w:cs="DIN Pro Regular"/>
          <w:sz w:val="28"/>
          <w:szCs w:val="28"/>
        </w:rPr>
      </w:pPr>
      <w:r w:rsidRPr="00A60FDB">
        <w:rPr>
          <w:rFonts w:ascii="DIN Pro Regular" w:hAnsi="DIN Pro Regular" w:cs="DIN Pro Regular"/>
          <w:b/>
          <w:bCs/>
          <w:sz w:val="28"/>
          <w:szCs w:val="28"/>
        </w:rPr>
        <w:t>«Локоволей-2021» среди юношей 2005-2006 г.р.</w:t>
      </w:r>
    </w:p>
    <w:p w14:paraId="0FA37AC3" w14:textId="77777777" w:rsidR="00231B7A" w:rsidRPr="00A60FDB" w:rsidRDefault="00231B7A" w:rsidP="00231B7A">
      <w:pPr>
        <w:spacing w:after="0" w:line="360" w:lineRule="auto"/>
        <w:ind w:right="708" w:firstLine="284"/>
        <w:jc w:val="both"/>
        <w:rPr>
          <w:rFonts w:ascii="DIN Pro Regular" w:hAnsi="DIN Pro Regular" w:cs="DIN Pro Regular"/>
          <w:sz w:val="28"/>
          <w:szCs w:val="28"/>
        </w:rPr>
      </w:pPr>
      <w:r w:rsidRPr="00A60FDB">
        <w:rPr>
          <w:rFonts w:ascii="DIN Pro Regular" w:hAnsi="DIN Pro Regular" w:cs="DIN Pro Regular"/>
          <w:sz w:val="28"/>
          <w:szCs w:val="28"/>
        </w:rPr>
        <w:t>«</w:t>
      </w:r>
      <w:proofErr w:type="spellStart"/>
      <w:r w:rsidRPr="00A60FDB">
        <w:rPr>
          <w:rFonts w:ascii="DIN Pro Regular" w:hAnsi="DIN Pro Regular" w:cs="DIN Pro Regular"/>
          <w:sz w:val="28"/>
          <w:szCs w:val="28"/>
        </w:rPr>
        <w:t>Локоволей</w:t>
      </w:r>
      <w:proofErr w:type="spellEnd"/>
      <w:r w:rsidRPr="00A60FDB">
        <w:rPr>
          <w:rFonts w:ascii="DIN Pro Regular" w:hAnsi="DIN Pro Regular" w:cs="DIN Pro Regular"/>
          <w:sz w:val="28"/>
          <w:szCs w:val="28"/>
        </w:rPr>
        <w:t>» – ежегодный турнир детско-юношеских волейбольных команд, организ</w:t>
      </w:r>
      <w:r>
        <w:rPr>
          <w:rFonts w:ascii="DIN Pro Regular" w:hAnsi="DIN Pro Regular" w:cs="DIN Pro Regular"/>
          <w:sz w:val="28"/>
          <w:szCs w:val="28"/>
        </w:rPr>
        <w:t>ованный</w:t>
      </w:r>
      <w:r w:rsidRPr="00A60FDB">
        <w:rPr>
          <w:rFonts w:ascii="DIN Pro Regular" w:hAnsi="DIN Pro Regular" w:cs="DIN Pro Regular"/>
          <w:sz w:val="28"/>
          <w:szCs w:val="28"/>
        </w:rPr>
        <w:t xml:space="preserve"> ОАО «Российские железные дороги», ВК «Локомотив–Новосибирск» и ЖВК «Локомотив–Калининградская область». Первенство проводится в целях популяризации волейбола как вида спорта, способствующего здоровому образу жизни, развития детско-юношеского волейбола и повышения уровня мастерства молодых спортсменов, которые в будущем могут присоединиться к сильнейшим командам российского чемпионата и национальной сборной.</w:t>
      </w:r>
    </w:p>
    <w:p w14:paraId="0DA9558C" w14:textId="77777777" w:rsidR="00231B7A" w:rsidRPr="00A60FDB" w:rsidRDefault="00231B7A" w:rsidP="00231B7A">
      <w:pPr>
        <w:spacing w:after="0" w:line="360" w:lineRule="auto"/>
        <w:ind w:right="708" w:firstLine="284"/>
        <w:jc w:val="both"/>
        <w:rPr>
          <w:rFonts w:ascii="DIN Pro Regular" w:hAnsi="DIN Pro Regular" w:cs="DIN Pro Regular"/>
          <w:sz w:val="28"/>
          <w:szCs w:val="28"/>
        </w:rPr>
      </w:pPr>
      <w:r w:rsidRPr="00A60FDB">
        <w:rPr>
          <w:rFonts w:ascii="DIN Pro Regular" w:hAnsi="DIN Pro Regular" w:cs="DIN Pro Regular"/>
          <w:sz w:val="28"/>
          <w:szCs w:val="28"/>
        </w:rPr>
        <w:t xml:space="preserve">С 2010 года в турнире приняли участие более </w:t>
      </w:r>
      <w:r w:rsidRPr="005A5BD3">
        <w:rPr>
          <w:rFonts w:ascii="DIN Pro Regular" w:hAnsi="DIN Pro Regular" w:cs="DIN Pro Regular"/>
          <w:sz w:val="28"/>
          <w:szCs w:val="28"/>
        </w:rPr>
        <w:t>15</w:t>
      </w:r>
      <w:r w:rsidRPr="00A60FDB">
        <w:rPr>
          <w:rFonts w:ascii="DIN Pro Regular" w:hAnsi="DIN Pro Regular" w:cs="DIN Pro Regular"/>
          <w:sz w:val="28"/>
          <w:szCs w:val="28"/>
        </w:rPr>
        <w:t>0 тысяч перспективных спортсменов, а также команды стран ближнего и дальнего зарубежья. В различные годы участниками финала становились сборные</w:t>
      </w:r>
      <w:r>
        <w:rPr>
          <w:rFonts w:ascii="DIN Pro Regular" w:hAnsi="DIN Pro Regular" w:cs="DIN Pro Regular"/>
          <w:sz w:val="28"/>
          <w:szCs w:val="28"/>
        </w:rPr>
        <w:t xml:space="preserve"> </w:t>
      </w:r>
      <w:r w:rsidRPr="00A60FDB">
        <w:rPr>
          <w:rFonts w:ascii="DIN Pro Regular" w:hAnsi="DIN Pro Regular" w:cs="DIN Pro Regular"/>
          <w:sz w:val="28"/>
          <w:szCs w:val="28"/>
        </w:rPr>
        <w:t xml:space="preserve">Китая, Монголии, Украины, Беларуси, Болгарии, Сербии, Литвы, Польши, Финляндии и Казахстана. </w:t>
      </w:r>
    </w:p>
    <w:p w14:paraId="34439302" w14:textId="77777777" w:rsidR="00231B7A" w:rsidRPr="00A60FDB" w:rsidRDefault="00231B7A" w:rsidP="00231B7A">
      <w:pPr>
        <w:spacing w:after="0" w:line="360" w:lineRule="auto"/>
        <w:ind w:right="708" w:firstLine="284"/>
        <w:jc w:val="both"/>
        <w:rPr>
          <w:rFonts w:ascii="DIN Pro Regular" w:hAnsi="DIN Pro Regular" w:cs="DIN Pro Regular"/>
          <w:sz w:val="28"/>
          <w:szCs w:val="28"/>
        </w:rPr>
      </w:pPr>
      <w:r w:rsidRPr="00A60FDB">
        <w:rPr>
          <w:rFonts w:ascii="DIN Pro Regular" w:hAnsi="DIN Pro Regular" w:cs="DIN Pro Regular"/>
          <w:sz w:val="28"/>
          <w:szCs w:val="28"/>
        </w:rPr>
        <w:t>В связи с неблагоприятной эпидемиологической ситуацией в мире, связанной с распространением COVID-19, в 2020 году было принято</w:t>
      </w:r>
      <w:r>
        <w:rPr>
          <w:rFonts w:ascii="DIN Pro Regular" w:hAnsi="DIN Pro Regular" w:cs="DIN Pro Regular"/>
          <w:sz w:val="28"/>
          <w:szCs w:val="28"/>
        </w:rPr>
        <w:t xml:space="preserve"> </w:t>
      </w:r>
      <w:r w:rsidRPr="00A60FDB">
        <w:rPr>
          <w:rFonts w:ascii="DIN Pro Regular" w:hAnsi="DIN Pro Regular" w:cs="DIN Pro Regular"/>
          <w:sz w:val="28"/>
          <w:szCs w:val="28"/>
        </w:rPr>
        <w:t xml:space="preserve">решение </w:t>
      </w:r>
      <w:r>
        <w:rPr>
          <w:rFonts w:ascii="DIN Pro Regular" w:hAnsi="DIN Pro Regular" w:cs="DIN Pro Regular"/>
          <w:sz w:val="28"/>
          <w:szCs w:val="28"/>
        </w:rPr>
        <w:t xml:space="preserve">временно </w:t>
      </w:r>
      <w:r w:rsidRPr="00A60FDB">
        <w:rPr>
          <w:rFonts w:ascii="DIN Pro Regular" w:hAnsi="DIN Pro Regular" w:cs="DIN Pro Regular"/>
          <w:sz w:val="28"/>
          <w:szCs w:val="28"/>
        </w:rPr>
        <w:t xml:space="preserve">изменить формат соревнований. </w:t>
      </w:r>
      <w:r w:rsidRPr="00A60FDB">
        <w:rPr>
          <w:rFonts w:ascii="DIN Pro Regular" w:hAnsi="DIN Pro Regular" w:cs="DIN Pro Regular"/>
          <w:sz w:val="28"/>
          <w:szCs w:val="28"/>
        </w:rPr>
        <w:lastRenderedPageBreak/>
        <w:t>«</w:t>
      </w:r>
      <w:proofErr w:type="spellStart"/>
      <w:r w:rsidRPr="00A60FDB">
        <w:rPr>
          <w:rFonts w:ascii="DIN Pro Regular" w:hAnsi="DIN Pro Regular" w:cs="DIN Pro Regular"/>
          <w:sz w:val="28"/>
          <w:szCs w:val="28"/>
        </w:rPr>
        <w:t>Локоволей</w:t>
      </w:r>
      <w:proofErr w:type="spellEnd"/>
      <w:r w:rsidRPr="00A60FDB">
        <w:rPr>
          <w:rFonts w:ascii="DIN Pro Regular" w:hAnsi="DIN Pro Regular" w:cs="DIN Pro Regular"/>
          <w:sz w:val="28"/>
          <w:szCs w:val="28"/>
        </w:rPr>
        <w:t xml:space="preserve"> – 2020» прошел в один расширенный этап, без </w:t>
      </w:r>
      <w:r>
        <w:rPr>
          <w:rFonts w:ascii="DIN Pro Regular" w:hAnsi="DIN Pro Regular" w:cs="DIN Pro Regular"/>
          <w:sz w:val="28"/>
          <w:szCs w:val="28"/>
        </w:rPr>
        <w:t>приглашения иностранных сборных.</w:t>
      </w:r>
      <w:r w:rsidRPr="00A60FDB">
        <w:rPr>
          <w:rFonts w:ascii="DIN Pro Regular" w:hAnsi="DIN Pro Regular" w:cs="DIN Pro Regular"/>
          <w:sz w:val="28"/>
          <w:szCs w:val="28"/>
        </w:rPr>
        <w:t xml:space="preserve"> Первенство было посвящено медицинским работникам, которые </w:t>
      </w:r>
      <w:r>
        <w:rPr>
          <w:rFonts w:ascii="DIN Pro Regular" w:hAnsi="DIN Pro Regular" w:cs="DIN Pro Regular"/>
          <w:sz w:val="28"/>
          <w:szCs w:val="28"/>
        </w:rPr>
        <w:t xml:space="preserve">ежедневно противостоят </w:t>
      </w:r>
      <w:r w:rsidRPr="00A60FDB">
        <w:rPr>
          <w:rFonts w:ascii="DIN Pro Regular" w:hAnsi="DIN Pro Regular" w:cs="DIN Pro Regular"/>
          <w:sz w:val="28"/>
          <w:szCs w:val="28"/>
        </w:rPr>
        <w:t>коронавирусной инфекции. Турнир был успешно проведен в стенах «Локомотив Арены» г. Новосибирска – домашней арены мужского волейбольного клуба «Локомотив»</w:t>
      </w:r>
      <w:r>
        <w:rPr>
          <w:rFonts w:ascii="DIN Pro Regular" w:hAnsi="DIN Pro Regular" w:cs="DIN Pro Regular"/>
          <w:sz w:val="28"/>
          <w:szCs w:val="28"/>
        </w:rPr>
        <w:t>. В соревнованиях</w:t>
      </w:r>
      <w:r w:rsidRPr="00A60FDB">
        <w:rPr>
          <w:rFonts w:ascii="DIN Pro Regular" w:hAnsi="DIN Pro Regular" w:cs="DIN Pro Regular"/>
          <w:sz w:val="28"/>
          <w:szCs w:val="28"/>
        </w:rPr>
        <w:t xml:space="preserve"> приняли участие 24 сильнейшие команды юношей и девушек 2004 – 2005 г.р.</w:t>
      </w:r>
      <w:r>
        <w:rPr>
          <w:rFonts w:ascii="DIN Pro Regular" w:hAnsi="DIN Pro Regular" w:cs="DIN Pro Regular"/>
          <w:sz w:val="28"/>
          <w:szCs w:val="28"/>
        </w:rPr>
        <w:t xml:space="preserve"> </w:t>
      </w:r>
      <w:r w:rsidRPr="00A60FDB">
        <w:rPr>
          <w:rFonts w:ascii="DIN Pro Regular" w:hAnsi="DIN Pro Regular" w:cs="DIN Pro Regular"/>
          <w:sz w:val="28"/>
          <w:szCs w:val="28"/>
        </w:rPr>
        <w:t>из самых разных регионов России: от Калининграда до Тынды, Петропавловска-Камчатского и Хабаровска.</w:t>
      </w:r>
    </w:p>
    <w:p w14:paraId="1F6B8194" w14:textId="77777777" w:rsidR="00231B7A" w:rsidRDefault="00231B7A" w:rsidP="00231B7A">
      <w:pPr>
        <w:spacing w:after="0" w:line="360" w:lineRule="auto"/>
        <w:ind w:right="708" w:firstLine="284"/>
        <w:jc w:val="both"/>
        <w:rPr>
          <w:rFonts w:ascii="DIN Pro Regular" w:hAnsi="DIN Pro Regular" w:cs="DIN Pro Regular"/>
          <w:sz w:val="28"/>
          <w:szCs w:val="28"/>
        </w:rPr>
      </w:pPr>
      <w:r>
        <w:rPr>
          <w:rFonts w:ascii="DIN Pro Regular" w:hAnsi="DIN Pro Regular" w:cs="DIN Pro Regular"/>
          <w:sz w:val="28"/>
          <w:szCs w:val="28"/>
        </w:rPr>
        <w:t xml:space="preserve">Суперфинал «Локоволея-2020» стал настоящим праздником волейбола. Зрители и почетные гости турнира, среди которых были губернатор Новосибирской области Андрей Травников, первый заместитель Председателя Государственной Думы Александр Жуков, заместитель генерального директора ОАО «РЖД» Анатолий </w:t>
      </w:r>
      <w:proofErr w:type="spellStart"/>
      <w:r>
        <w:rPr>
          <w:rFonts w:ascii="DIN Pro Regular" w:hAnsi="DIN Pro Regular" w:cs="DIN Pro Regular"/>
          <w:sz w:val="28"/>
          <w:szCs w:val="28"/>
        </w:rPr>
        <w:t>Чабунин</w:t>
      </w:r>
      <w:proofErr w:type="spellEnd"/>
      <w:r>
        <w:rPr>
          <w:rFonts w:ascii="DIN Pro Regular" w:hAnsi="DIN Pro Regular" w:cs="DIN Pro Regular"/>
          <w:sz w:val="28"/>
          <w:szCs w:val="28"/>
        </w:rPr>
        <w:t>, президент Олимпийского комитета Станислав Поздняков, директор ОАО «РЖД» по коммуникациям-начальник департамента по взаимодействию с органами власти Юрий Нагорных,</w:t>
      </w:r>
      <w:r w:rsidRPr="00B82BB7">
        <w:rPr>
          <w:rFonts w:ascii="DIN Pro Regular" w:hAnsi="DIN Pro Regular" w:cs="DIN Pro Regular"/>
          <w:sz w:val="28"/>
          <w:szCs w:val="28"/>
        </w:rPr>
        <w:t xml:space="preserve"> </w:t>
      </w:r>
      <w:r>
        <w:rPr>
          <w:rFonts w:ascii="DIN Pro Regular" w:hAnsi="DIN Pro Regular" w:cs="DIN Pro Regular"/>
          <w:sz w:val="28"/>
          <w:szCs w:val="28"/>
        </w:rPr>
        <w:t>увидели красочную шоу-программу и яркий волейбол в исполнении лучших команд турнира.</w:t>
      </w:r>
    </w:p>
    <w:p w14:paraId="7A56DA09" w14:textId="77777777" w:rsidR="00231B7A" w:rsidRPr="00A60FDB" w:rsidRDefault="00231B7A" w:rsidP="00231B7A">
      <w:pPr>
        <w:spacing w:after="0" w:line="360" w:lineRule="auto"/>
        <w:ind w:right="708" w:firstLine="284"/>
        <w:jc w:val="both"/>
        <w:rPr>
          <w:rFonts w:ascii="DIN Pro Regular" w:hAnsi="DIN Pro Regular" w:cs="DIN Pro Regular"/>
          <w:sz w:val="28"/>
          <w:szCs w:val="28"/>
        </w:rPr>
      </w:pPr>
      <w:r w:rsidRPr="00A60FDB">
        <w:rPr>
          <w:rFonts w:ascii="DIN Pro Regular" w:hAnsi="DIN Pro Regular" w:cs="DIN Pro Regular"/>
          <w:sz w:val="28"/>
          <w:szCs w:val="28"/>
        </w:rPr>
        <w:t>Нестабильная эпидемиологическая обстановка, к сожалению,</w:t>
      </w:r>
      <w:r>
        <w:rPr>
          <w:rFonts w:ascii="DIN Pro Regular" w:hAnsi="DIN Pro Regular" w:cs="DIN Pro Regular"/>
          <w:sz w:val="28"/>
          <w:szCs w:val="28"/>
        </w:rPr>
        <w:t xml:space="preserve"> </w:t>
      </w:r>
      <w:r w:rsidRPr="00A60FDB">
        <w:rPr>
          <w:rFonts w:ascii="DIN Pro Regular" w:hAnsi="DIN Pro Regular" w:cs="DIN Pro Regular"/>
          <w:sz w:val="28"/>
          <w:szCs w:val="28"/>
        </w:rPr>
        <w:t>не позволяет провести турнир в привычном формате</w:t>
      </w:r>
      <w:r>
        <w:rPr>
          <w:rFonts w:ascii="DIN Pro Regular" w:hAnsi="DIN Pro Regular" w:cs="DIN Pro Regular"/>
          <w:sz w:val="28"/>
          <w:szCs w:val="28"/>
        </w:rPr>
        <w:t xml:space="preserve"> – с отборочным этапом, а также пригласить команды из стран дальнего и ближнего зарубежья. </w:t>
      </w:r>
      <w:r w:rsidRPr="00306424">
        <w:rPr>
          <w:rFonts w:ascii="DIN Pro Regular" w:hAnsi="DIN Pro Regular" w:cs="DIN Pro Regular"/>
          <w:b/>
          <w:bCs/>
          <w:sz w:val="28"/>
          <w:szCs w:val="28"/>
        </w:rPr>
        <w:t>«</w:t>
      </w:r>
      <w:proofErr w:type="spellStart"/>
      <w:r w:rsidRPr="00306424">
        <w:rPr>
          <w:rFonts w:ascii="DIN Pro Regular" w:hAnsi="DIN Pro Regular" w:cs="DIN Pro Regular"/>
          <w:b/>
          <w:bCs/>
          <w:sz w:val="28"/>
          <w:szCs w:val="28"/>
        </w:rPr>
        <w:t>Локоволей</w:t>
      </w:r>
      <w:proofErr w:type="spellEnd"/>
      <w:r w:rsidRPr="00306424">
        <w:rPr>
          <w:rFonts w:ascii="DIN Pro Regular" w:hAnsi="DIN Pro Regular" w:cs="DIN Pro Regular"/>
          <w:b/>
          <w:bCs/>
          <w:sz w:val="28"/>
          <w:szCs w:val="28"/>
        </w:rPr>
        <w:t xml:space="preserve"> – 2021»</w:t>
      </w:r>
      <w:r w:rsidRPr="00A60FDB">
        <w:rPr>
          <w:rFonts w:ascii="DIN Pro Regular" w:hAnsi="DIN Pro Regular" w:cs="DIN Pro Regular"/>
          <w:sz w:val="28"/>
          <w:szCs w:val="28"/>
        </w:rPr>
        <w:t xml:space="preserve"> </w:t>
      </w:r>
      <w:r>
        <w:rPr>
          <w:rFonts w:ascii="DIN Pro Regular" w:hAnsi="DIN Pro Regular" w:cs="DIN Pro Regular"/>
          <w:sz w:val="28"/>
          <w:szCs w:val="28"/>
        </w:rPr>
        <w:t xml:space="preserve">вновь </w:t>
      </w:r>
      <w:r w:rsidRPr="00A60FDB">
        <w:rPr>
          <w:rFonts w:ascii="DIN Pro Regular" w:hAnsi="DIN Pro Regular" w:cs="DIN Pro Regular"/>
          <w:sz w:val="28"/>
          <w:szCs w:val="28"/>
        </w:rPr>
        <w:t xml:space="preserve">пройдет </w:t>
      </w:r>
      <w:r>
        <w:rPr>
          <w:rFonts w:ascii="DIN Pro Regular" w:hAnsi="DIN Pro Regular" w:cs="DIN Pro Regular"/>
          <w:sz w:val="28"/>
          <w:szCs w:val="28"/>
        </w:rPr>
        <w:t>в один этап. Турнир примет</w:t>
      </w:r>
      <w:r w:rsidRPr="00A60FDB">
        <w:rPr>
          <w:rFonts w:ascii="DIN Pro Regular" w:hAnsi="DIN Pro Regular" w:cs="DIN Pro Regular"/>
          <w:sz w:val="28"/>
          <w:szCs w:val="28"/>
        </w:rPr>
        <w:t xml:space="preserve"> </w:t>
      </w:r>
      <w:r w:rsidRPr="00306424">
        <w:rPr>
          <w:rFonts w:ascii="DIN Pro Regular" w:hAnsi="DIN Pro Regular" w:cs="DIN Pro Regular"/>
          <w:b/>
          <w:bCs/>
          <w:sz w:val="28"/>
          <w:szCs w:val="28"/>
        </w:rPr>
        <w:t>г</w:t>
      </w:r>
      <w:r>
        <w:rPr>
          <w:rFonts w:ascii="DIN Pro Regular" w:hAnsi="DIN Pro Regular" w:cs="DIN Pro Regular"/>
          <w:b/>
          <w:bCs/>
          <w:sz w:val="28"/>
          <w:szCs w:val="28"/>
        </w:rPr>
        <w:t>ород </w:t>
      </w:r>
      <w:r w:rsidRPr="00306424">
        <w:rPr>
          <w:rFonts w:ascii="DIN Pro Regular" w:hAnsi="DIN Pro Regular" w:cs="DIN Pro Regular"/>
          <w:b/>
          <w:bCs/>
          <w:sz w:val="28"/>
          <w:szCs w:val="28"/>
        </w:rPr>
        <w:t>Калининград. С 17 по 22 января 2022 года</w:t>
      </w:r>
      <w:r w:rsidRPr="00A60FDB">
        <w:rPr>
          <w:rFonts w:ascii="DIN Pro Regular" w:hAnsi="DIN Pro Regular" w:cs="DIN Pro Regular"/>
          <w:sz w:val="28"/>
          <w:szCs w:val="28"/>
        </w:rPr>
        <w:t xml:space="preserve"> юные волейболисты</w:t>
      </w:r>
      <w:r>
        <w:rPr>
          <w:rFonts w:ascii="DIN Pro Regular" w:hAnsi="DIN Pro Regular" w:cs="DIN Pro Regular"/>
          <w:sz w:val="28"/>
          <w:szCs w:val="28"/>
        </w:rPr>
        <w:t xml:space="preserve"> и волейболистки</w:t>
      </w:r>
      <w:r w:rsidRPr="00A60FDB">
        <w:rPr>
          <w:rFonts w:ascii="DIN Pro Regular" w:hAnsi="DIN Pro Regular" w:cs="DIN Pro Regular"/>
          <w:sz w:val="28"/>
          <w:szCs w:val="28"/>
        </w:rPr>
        <w:t xml:space="preserve"> встретятся </w:t>
      </w:r>
      <w:r>
        <w:rPr>
          <w:rFonts w:ascii="DIN Pro Regular" w:hAnsi="DIN Pro Regular" w:cs="DIN Pro Regular"/>
          <w:sz w:val="28"/>
          <w:szCs w:val="28"/>
        </w:rPr>
        <w:t xml:space="preserve">на площадках </w:t>
      </w:r>
      <w:r w:rsidRPr="00A60FDB">
        <w:rPr>
          <w:rFonts w:ascii="DIN Pro Regular" w:hAnsi="DIN Pro Regular" w:cs="DIN Pro Regular"/>
          <w:sz w:val="28"/>
          <w:szCs w:val="28"/>
        </w:rPr>
        <w:t>Двор</w:t>
      </w:r>
      <w:r>
        <w:rPr>
          <w:rFonts w:ascii="DIN Pro Regular" w:hAnsi="DIN Pro Regular" w:cs="DIN Pro Regular"/>
          <w:sz w:val="28"/>
          <w:szCs w:val="28"/>
        </w:rPr>
        <w:t>ца</w:t>
      </w:r>
      <w:r w:rsidRPr="00A60FDB">
        <w:rPr>
          <w:rFonts w:ascii="DIN Pro Regular" w:hAnsi="DIN Pro Regular" w:cs="DIN Pro Regular"/>
          <w:sz w:val="28"/>
          <w:szCs w:val="28"/>
        </w:rPr>
        <w:t xml:space="preserve"> </w:t>
      </w:r>
      <w:r w:rsidRPr="00A60FDB">
        <w:rPr>
          <w:rFonts w:ascii="DIN Pro Regular" w:hAnsi="DIN Pro Regular" w:cs="DIN Pro Regular"/>
          <w:sz w:val="28"/>
          <w:szCs w:val="28"/>
        </w:rPr>
        <w:lastRenderedPageBreak/>
        <w:t>спорта «Янтарный»</w:t>
      </w:r>
      <w:r>
        <w:rPr>
          <w:rFonts w:ascii="DIN Pro Regular" w:hAnsi="DIN Pro Regular" w:cs="DIN Pro Regular"/>
          <w:sz w:val="28"/>
          <w:szCs w:val="28"/>
        </w:rPr>
        <w:t xml:space="preserve"> - </w:t>
      </w:r>
      <w:r w:rsidRPr="00A60FDB">
        <w:rPr>
          <w:rFonts w:ascii="DIN Pro Regular" w:hAnsi="DIN Pro Regular" w:cs="DIN Pro Regular"/>
          <w:sz w:val="28"/>
          <w:szCs w:val="28"/>
        </w:rPr>
        <w:t>домашней арен</w:t>
      </w:r>
      <w:r>
        <w:rPr>
          <w:rFonts w:ascii="DIN Pro Regular" w:hAnsi="DIN Pro Regular" w:cs="DIN Pro Regular"/>
          <w:sz w:val="28"/>
          <w:szCs w:val="28"/>
        </w:rPr>
        <w:t>ы</w:t>
      </w:r>
      <w:r w:rsidRPr="00A60FDB">
        <w:rPr>
          <w:rFonts w:ascii="DIN Pro Regular" w:hAnsi="DIN Pro Regular" w:cs="DIN Pro Regular"/>
          <w:sz w:val="28"/>
          <w:szCs w:val="28"/>
        </w:rPr>
        <w:t xml:space="preserve"> женского волейбольного клуба «Локомотив». </w:t>
      </w:r>
      <w:r>
        <w:rPr>
          <w:rFonts w:ascii="DIN Pro Regular" w:hAnsi="DIN Pro Regular" w:cs="DIN Pro Regular"/>
          <w:sz w:val="28"/>
          <w:szCs w:val="28"/>
        </w:rPr>
        <w:t>«Локоволей-2021» будет приурочен</w:t>
      </w:r>
      <w:r w:rsidRPr="00A60FDB">
        <w:rPr>
          <w:rFonts w:ascii="DIN Pro Regular" w:hAnsi="DIN Pro Regular" w:cs="DIN Pro Regular"/>
          <w:sz w:val="28"/>
          <w:szCs w:val="28"/>
        </w:rPr>
        <w:t xml:space="preserve"> к проведению Чемпионата мира по волейболу среди </w:t>
      </w:r>
      <w:r>
        <w:rPr>
          <w:rFonts w:ascii="DIN Pro Regular" w:hAnsi="DIN Pro Regular" w:cs="DIN Pro Regular"/>
          <w:sz w:val="28"/>
          <w:szCs w:val="28"/>
        </w:rPr>
        <w:t>мужских команд FIVB 2022, который</w:t>
      </w:r>
      <w:r w:rsidRPr="00A60FDB">
        <w:rPr>
          <w:rFonts w:ascii="DIN Pro Regular" w:hAnsi="DIN Pro Regular" w:cs="DIN Pro Regular"/>
          <w:sz w:val="28"/>
          <w:szCs w:val="28"/>
        </w:rPr>
        <w:t xml:space="preserve"> состоится в России с 26 августа по 11 сентября.</w:t>
      </w:r>
    </w:p>
    <w:p w14:paraId="70F79236" w14:textId="77777777" w:rsidR="00231B7A" w:rsidRDefault="00231B7A" w:rsidP="00231B7A">
      <w:pPr>
        <w:spacing w:after="0" w:line="360" w:lineRule="auto"/>
        <w:ind w:right="708" w:firstLine="284"/>
        <w:jc w:val="both"/>
        <w:rPr>
          <w:rFonts w:ascii="DIN Pro Regular" w:hAnsi="DIN Pro Regular" w:cs="DIN Pro Regular"/>
          <w:sz w:val="28"/>
          <w:szCs w:val="28"/>
        </w:rPr>
      </w:pPr>
      <w:r w:rsidRPr="00A60FDB">
        <w:rPr>
          <w:rFonts w:ascii="DIN Pro Regular" w:hAnsi="DIN Pro Regular" w:cs="DIN Pro Regular"/>
          <w:sz w:val="28"/>
          <w:szCs w:val="28"/>
        </w:rPr>
        <w:t xml:space="preserve">В Суперфинале «Локоволей-2021» </w:t>
      </w:r>
      <w:r>
        <w:rPr>
          <w:rFonts w:ascii="DIN Pro Regular" w:hAnsi="DIN Pro Regular" w:cs="DIN Pro Regular"/>
          <w:sz w:val="28"/>
          <w:szCs w:val="28"/>
        </w:rPr>
        <w:t>примут участие 24</w:t>
      </w:r>
      <w:r w:rsidRPr="00A60FDB">
        <w:rPr>
          <w:rFonts w:ascii="DIN Pro Regular" w:hAnsi="DIN Pro Regular" w:cs="DIN Pro Regular"/>
          <w:sz w:val="28"/>
          <w:szCs w:val="28"/>
        </w:rPr>
        <w:t xml:space="preserve"> команд</w:t>
      </w:r>
      <w:r>
        <w:rPr>
          <w:rFonts w:ascii="DIN Pro Regular" w:hAnsi="DIN Pro Regular" w:cs="DIN Pro Regular"/>
          <w:sz w:val="28"/>
          <w:szCs w:val="28"/>
        </w:rPr>
        <w:t>ы</w:t>
      </w:r>
      <w:r w:rsidRPr="00A60FDB">
        <w:rPr>
          <w:rFonts w:ascii="DIN Pro Regular" w:hAnsi="DIN Pro Regular" w:cs="DIN Pro Regular"/>
          <w:sz w:val="28"/>
          <w:szCs w:val="28"/>
        </w:rPr>
        <w:t xml:space="preserve"> 2005-2006</w:t>
      </w:r>
      <w:r>
        <w:rPr>
          <w:rFonts w:ascii="DIN Pro Regular" w:hAnsi="DIN Pro Regular" w:cs="DIN Pro Regular"/>
          <w:sz w:val="28"/>
          <w:szCs w:val="28"/>
        </w:rPr>
        <w:t xml:space="preserve"> </w:t>
      </w:r>
      <w:r w:rsidRPr="00A60FDB">
        <w:rPr>
          <w:rFonts w:ascii="DIN Pro Regular" w:hAnsi="DIN Pro Regular" w:cs="DIN Pro Regular"/>
          <w:sz w:val="28"/>
          <w:szCs w:val="28"/>
        </w:rPr>
        <w:t xml:space="preserve">г.р., представляющие города субъектов Российской Федерации из соответствующих федеральных округов России.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77"/>
        <w:gridCol w:w="4468"/>
      </w:tblGrid>
      <w:tr w:rsidR="00231B7A" w14:paraId="3C76C649" w14:textId="77777777" w:rsidTr="00327815">
        <w:tc>
          <w:tcPr>
            <w:tcW w:w="4577" w:type="dxa"/>
          </w:tcPr>
          <w:p w14:paraId="64B12710" w14:textId="77777777" w:rsidR="00231B7A" w:rsidRPr="003C008A" w:rsidRDefault="00231B7A" w:rsidP="00327815">
            <w:pPr>
              <w:spacing w:line="360" w:lineRule="auto"/>
              <w:jc w:val="center"/>
              <w:rPr>
                <w:rFonts w:ascii="DIN Pro Regular" w:hAnsi="DIN Pro Regular" w:cs="DIN Pro Regular"/>
                <w:b/>
                <w:bCs/>
                <w:sz w:val="24"/>
                <w:szCs w:val="24"/>
              </w:rPr>
            </w:pPr>
            <w:r>
              <w:rPr>
                <w:rFonts w:ascii="DIN Pro Regular" w:hAnsi="DIN Pro Regular" w:cs="DIN Pro Regular"/>
                <w:b/>
                <w:bCs/>
                <w:sz w:val="24"/>
                <w:szCs w:val="24"/>
              </w:rPr>
              <w:t>Юноши</w:t>
            </w:r>
          </w:p>
          <w:p w14:paraId="7B347DFB" w14:textId="77777777" w:rsidR="00231B7A" w:rsidRPr="003C008A" w:rsidRDefault="00231B7A" w:rsidP="00327815">
            <w:pPr>
              <w:spacing w:line="360" w:lineRule="auto"/>
              <w:rPr>
                <w:rFonts w:ascii="DIN Pro Regular" w:hAnsi="DIN Pro Regular" w:cs="DIN Pro Regular"/>
                <w:b/>
                <w:bCs/>
                <w:sz w:val="24"/>
                <w:szCs w:val="24"/>
              </w:rPr>
            </w:pPr>
            <w:r w:rsidRPr="003C008A">
              <w:rPr>
                <w:rFonts w:ascii="DIN Pro Regular" w:hAnsi="DIN Pro Regular" w:cs="DIN Pro Regular"/>
                <w:b/>
                <w:bCs/>
                <w:sz w:val="24"/>
                <w:szCs w:val="24"/>
              </w:rPr>
              <w:t>Северо-Западный федеральный округ:</w:t>
            </w:r>
          </w:p>
          <w:p w14:paraId="27D1F8FA" w14:textId="77777777" w:rsidR="00231B7A" w:rsidRPr="003C008A" w:rsidRDefault="00231B7A" w:rsidP="00327815">
            <w:pPr>
              <w:spacing w:line="360" w:lineRule="auto"/>
              <w:rPr>
                <w:rFonts w:ascii="DIN Pro Regular" w:hAnsi="DIN Pro Regular" w:cs="DIN Pro Regular"/>
                <w:sz w:val="24"/>
                <w:szCs w:val="24"/>
              </w:rPr>
            </w:pPr>
            <w:r w:rsidRPr="003C008A">
              <w:rPr>
                <w:rFonts w:ascii="DIN Pro Regular" w:hAnsi="DIN Pro Regular" w:cs="DIN Pro Regular"/>
                <w:sz w:val="24"/>
                <w:szCs w:val="24"/>
              </w:rPr>
              <w:t>– Санкт-Петербург</w:t>
            </w:r>
          </w:p>
          <w:p w14:paraId="3D494CC9" w14:textId="77777777" w:rsidR="00231B7A" w:rsidRPr="003C008A" w:rsidRDefault="00231B7A" w:rsidP="00327815">
            <w:pPr>
              <w:spacing w:line="360" w:lineRule="auto"/>
              <w:rPr>
                <w:rFonts w:ascii="DIN Pro Regular" w:hAnsi="DIN Pro Regular" w:cs="DIN Pro Regular"/>
                <w:sz w:val="24"/>
                <w:szCs w:val="24"/>
              </w:rPr>
            </w:pPr>
            <w:r w:rsidRPr="003C008A">
              <w:rPr>
                <w:rFonts w:ascii="DIN Pro Regular" w:hAnsi="DIN Pro Regular" w:cs="DIN Pro Regular"/>
                <w:sz w:val="24"/>
                <w:szCs w:val="24"/>
              </w:rPr>
              <w:t>– Калининград</w:t>
            </w:r>
          </w:p>
          <w:p w14:paraId="40139D2D" w14:textId="77777777" w:rsidR="00231B7A" w:rsidRPr="003C008A" w:rsidRDefault="00231B7A" w:rsidP="00327815">
            <w:pPr>
              <w:spacing w:line="360" w:lineRule="auto"/>
              <w:rPr>
                <w:rFonts w:ascii="DIN Pro Regular" w:hAnsi="DIN Pro Regular" w:cs="DIN Pro Regular"/>
                <w:b/>
                <w:bCs/>
                <w:sz w:val="24"/>
                <w:szCs w:val="24"/>
              </w:rPr>
            </w:pPr>
            <w:r w:rsidRPr="003C008A">
              <w:rPr>
                <w:rFonts w:ascii="DIN Pro Regular" w:hAnsi="DIN Pro Regular" w:cs="DIN Pro Regular"/>
                <w:b/>
                <w:bCs/>
                <w:sz w:val="24"/>
                <w:szCs w:val="24"/>
              </w:rPr>
              <w:t>Приволжский федеральный округ:</w:t>
            </w:r>
          </w:p>
          <w:p w14:paraId="4B819F3D" w14:textId="77777777" w:rsidR="00231B7A" w:rsidRPr="003C008A" w:rsidRDefault="00231B7A" w:rsidP="00327815">
            <w:pPr>
              <w:spacing w:line="360" w:lineRule="auto"/>
              <w:rPr>
                <w:rFonts w:ascii="DIN Pro Regular" w:hAnsi="DIN Pro Regular" w:cs="DIN Pro Regular"/>
                <w:sz w:val="24"/>
                <w:szCs w:val="24"/>
              </w:rPr>
            </w:pPr>
            <w:r w:rsidRPr="003C008A">
              <w:rPr>
                <w:rFonts w:ascii="DIN Pro Regular" w:hAnsi="DIN Pro Regular" w:cs="DIN Pro Regular"/>
                <w:sz w:val="24"/>
                <w:szCs w:val="24"/>
              </w:rPr>
              <w:t>– Республика Башкортостан</w:t>
            </w:r>
          </w:p>
          <w:p w14:paraId="46C6C379" w14:textId="77777777" w:rsidR="00231B7A" w:rsidRPr="003C008A" w:rsidRDefault="00231B7A" w:rsidP="00327815">
            <w:pPr>
              <w:spacing w:line="360" w:lineRule="auto"/>
              <w:rPr>
                <w:rFonts w:ascii="DIN Pro Regular" w:hAnsi="DIN Pro Regular" w:cs="DIN Pro Regular"/>
                <w:sz w:val="24"/>
                <w:szCs w:val="24"/>
              </w:rPr>
            </w:pPr>
            <w:r w:rsidRPr="003C008A">
              <w:rPr>
                <w:rFonts w:ascii="DIN Pro Regular" w:hAnsi="DIN Pro Regular" w:cs="DIN Pro Regular"/>
                <w:sz w:val="24"/>
                <w:szCs w:val="24"/>
              </w:rPr>
              <w:t>– Удмуртская республика</w:t>
            </w:r>
          </w:p>
          <w:p w14:paraId="5245CA67" w14:textId="77777777" w:rsidR="00231B7A" w:rsidRPr="003C008A" w:rsidRDefault="00231B7A" w:rsidP="00327815">
            <w:pPr>
              <w:spacing w:line="360" w:lineRule="auto"/>
              <w:rPr>
                <w:rFonts w:ascii="DIN Pro Regular" w:hAnsi="DIN Pro Regular" w:cs="DIN Pro Regular"/>
                <w:sz w:val="24"/>
                <w:szCs w:val="24"/>
              </w:rPr>
            </w:pPr>
            <w:r w:rsidRPr="003C008A">
              <w:rPr>
                <w:rFonts w:ascii="DIN Pro Regular" w:hAnsi="DIN Pro Regular" w:cs="DIN Pro Regular"/>
                <w:sz w:val="24"/>
                <w:szCs w:val="24"/>
              </w:rPr>
              <w:t>– Нижний Новгород</w:t>
            </w:r>
          </w:p>
          <w:p w14:paraId="5A72BC44" w14:textId="77777777" w:rsidR="00231B7A" w:rsidRPr="003C008A" w:rsidRDefault="00231B7A" w:rsidP="00327815">
            <w:pPr>
              <w:spacing w:line="360" w:lineRule="auto"/>
              <w:rPr>
                <w:rFonts w:ascii="DIN Pro Regular" w:hAnsi="DIN Pro Regular" w:cs="DIN Pro Regular"/>
                <w:sz w:val="24"/>
                <w:szCs w:val="24"/>
              </w:rPr>
            </w:pPr>
            <w:r w:rsidRPr="003C008A">
              <w:rPr>
                <w:rFonts w:ascii="DIN Pro Regular" w:hAnsi="DIN Pro Regular" w:cs="DIN Pro Regular"/>
                <w:sz w:val="24"/>
                <w:szCs w:val="24"/>
              </w:rPr>
              <w:t>– Новокуйбышевск</w:t>
            </w:r>
          </w:p>
          <w:p w14:paraId="7EAD574A" w14:textId="77777777" w:rsidR="00231B7A" w:rsidRPr="003C008A" w:rsidRDefault="00231B7A" w:rsidP="00327815">
            <w:pPr>
              <w:spacing w:line="360" w:lineRule="auto"/>
              <w:rPr>
                <w:rFonts w:ascii="DIN Pro Regular" w:hAnsi="DIN Pro Regular" w:cs="DIN Pro Regular"/>
                <w:b/>
                <w:bCs/>
                <w:sz w:val="24"/>
                <w:szCs w:val="24"/>
              </w:rPr>
            </w:pPr>
            <w:r w:rsidRPr="003C008A">
              <w:rPr>
                <w:rFonts w:ascii="DIN Pro Regular" w:hAnsi="DIN Pro Regular" w:cs="DIN Pro Regular"/>
                <w:b/>
                <w:bCs/>
                <w:sz w:val="24"/>
                <w:szCs w:val="24"/>
              </w:rPr>
              <w:t>Уральский федеральный округ:</w:t>
            </w:r>
          </w:p>
          <w:p w14:paraId="5AFAA2E0" w14:textId="77777777" w:rsidR="00231B7A" w:rsidRPr="003C008A" w:rsidRDefault="00231B7A" w:rsidP="00327815">
            <w:pPr>
              <w:spacing w:line="360" w:lineRule="auto"/>
              <w:rPr>
                <w:rFonts w:ascii="DIN Pro Regular" w:hAnsi="DIN Pro Regular" w:cs="DIN Pro Regular"/>
                <w:sz w:val="24"/>
                <w:szCs w:val="24"/>
              </w:rPr>
            </w:pPr>
            <w:r w:rsidRPr="003C008A">
              <w:rPr>
                <w:rFonts w:ascii="DIN Pro Regular" w:hAnsi="DIN Pro Regular" w:cs="DIN Pro Regular"/>
                <w:sz w:val="24"/>
                <w:szCs w:val="24"/>
              </w:rPr>
              <w:t>– Челябинск</w:t>
            </w:r>
          </w:p>
          <w:p w14:paraId="5C4741EA" w14:textId="77777777" w:rsidR="00231B7A" w:rsidRPr="003C008A" w:rsidRDefault="00231B7A" w:rsidP="00327815">
            <w:pPr>
              <w:spacing w:line="360" w:lineRule="auto"/>
              <w:rPr>
                <w:rFonts w:ascii="DIN Pro Regular" w:hAnsi="DIN Pro Regular" w:cs="DIN Pro Regular"/>
                <w:b/>
                <w:bCs/>
                <w:sz w:val="24"/>
                <w:szCs w:val="24"/>
              </w:rPr>
            </w:pPr>
            <w:r w:rsidRPr="003C008A">
              <w:rPr>
                <w:rFonts w:ascii="DIN Pro Regular" w:hAnsi="DIN Pro Regular" w:cs="DIN Pro Regular"/>
                <w:b/>
                <w:bCs/>
                <w:sz w:val="24"/>
                <w:szCs w:val="24"/>
              </w:rPr>
              <w:t>Центральный федеральный округ:</w:t>
            </w:r>
          </w:p>
          <w:p w14:paraId="34B8A658" w14:textId="77777777" w:rsidR="00231B7A" w:rsidRPr="003C008A" w:rsidRDefault="00231B7A" w:rsidP="00327815">
            <w:pPr>
              <w:spacing w:line="360" w:lineRule="auto"/>
              <w:rPr>
                <w:rFonts w:ascii="DIN Pro Regular" w:hAnsi="DIN Pro Regular" w:cs="DIN Pro Regular"/>
                <w:sz w:val="24"/>
                <w:szCs w:val="24"/>
              </w:rPr>
            </w:pPr>
            <w:r w:rsidRPr="003C008A">
              <w:rPr>
                <w:rFonts w:ascii="DIN Pro Regular" w:hAnsi="DIN Pro Regular" w:cs="DIN Pro Regular"/>
                <w:sz w:val="24"/>
                <w:szCs w:val="24"/>
              </w:rPr>
              <w:t>– Белгород</w:t>
            </w:r>
          </w:p>
          <w:p w14:paraId="2AD24CDF" w14:textId="77777777" w:rsidR="00231B7A" w:rsidRPr="003C008A" w:rsidRDefault="00231B7A" w:rsidP="00327815">
            <w:pPr>
              <w:spacing w:line="360" w:lineRule="auto"/>
              <w:rPr>
                <w:rFonts w:ascii="DIN Pro Regular" w:hAnsi="DIN Pro Regular" w:cs="DIN Pro Regular"/>
                <w:b/>
                <w:bCs/>
                <w:sz w:val="24"/>
                <w:szCs w:val="24"/>
              </w:rPr>
            </w:pPr>
            <w:r w:rsidRPr="003C008A">
              <w:rPr>
                <w:rFonts w:ascii="DIN Pro Regular" w:hAnsi="DIN Pro Regular" w:cs="DIN Pro Regular"/>
                <w:b/>
                <w:bCs/>
                <w:sz w:val="24"/>
                <w:szCs w:val="24"/>
              </w:rPr>
              <w:t>Сибирский федеральный округ:</w:t>
            </w:r>
          </w:p>
          <w:p w14:paraId="60DBC4C0" w14:textId="77777777" w:rsidR="00231B7A" w:rsidRPr="003C008A" w:rsidRDefault="00231B7A" w:rsidP="00327815">
            <w:pPr>
              <w:spacing w:line="360" w:lineRule="auto"/>
              <w:rPr>
                <w:rFonts w:ascii="DIN Pro Regular" w:hAnsi="DIN Pro Regular" w:cs="DIN Pro Regular"/>
                <w:sz w:val="24"/>
                <w:szCs w:val="24"/>
              </w:rPr>
            </w:pPr>
            <w:r w:rsidRPr="003C008A">
              <w:rPr>
                <w:rFonts w:ascii="DIN Pro Regular" w:hAnsi="DIN Pro Regular" w:cs="DIN Pro Regular"/>
                <w:sz w:val="24"/>
                <w:szCs w:val="24"/>
              </w:rPr>
              <w:t>– Новосибирск</w:t>
            </w:r>
          </w:p>
          <w:p w14:paraId="6A17ED5D" w14:textId="77777777" w:rsidR="00231B7A" w:rsidRPr="003C008A" w:rsidRDefault="00231B7A" w:rsidP="00327815">
            <w:pPr>
              <w:spacing w:line="360" w:lineRule="auto"/>
              <w:rPr>
                <w:rFonts w:ascii="DIN Pro Regular" w:hAnsi="DIN Pro Regular" w:cs="DIN Pro Regular"/>
                <w:sz w:val="24"/>
                <w:szCs w:val="24"/>
              </w:rPr>
            </w:pPr>
            <w:r w:rsidRPr="003C008A">
              <w:rPr>
                <w:rFonts w:ascii="DIN Pro Regular" w:hAnsi="DIN Pro Regular" w:cs="DIN Pro Regular"/>
                <w:sz w:val="24"/>
                <w:szCs w:val="24"/>
              </w:rPr>
              <w:t>– Кемерово</w:t>
            </w:r>
          </w:p>
          <w:p w14:paraId="32F9ED0A" w14:textId="77777777" w:rsidR="00231B7A" w:rsidRPr="003C008A" w:rsidRDefault="00231B7A" w:rsidP="00327815">
            <w:pPr>
              <w:spacing w:line="360" w:lineRule="auto"/>
              <w:rPr>
                <w:rFonts w:ascii="DIN Pro Regular" w:hAnsi="DIN Pro Regular" w:cs="DIN Pro Regular"/>
                <w:sz w:val="24"/>
                <w:szCs w:val="24"/>
              </w:rPr>
            </w:pPr>
            <w:r w:rsidRPr="003C008A">
              <w:rPr>
                <w:rFonts w:ascii="DIN Pro Regular" w:hAnsi="DIN Pro Regular" w:cs="DIN Pro Regular"/>
                <w:sz w:val="24"/>
                <w:szCs w:val="24"/>
              </w:rPr>
              <w:t>– Красноярск</w:t>
            </w:r>
          </w:p>
          <w:p w14:paraId="390773D2" w14:textId="77777777" w:rsidR="00231B7A" w:rsidRPr="003C008A" w:rsidRDefault="00231B7A" w:rsidP="00327815">
            <w:pPr>
              <w:tabs>
                <w:tab w:val="right" w:pos="8789"/>
              </w:tabs>
              <w:spacing w:line="360" w:lineRule="auto"/>
              <w:rPr>
                <w:rFonts w:ascii="DIN Pro Regular" w:hAnsi="DIN Pro Regular" w:cs="DIN Pro Regular"/>
                <w:b/>
                <w:bCs/>
                <w:sz w:val="24"/>
                <w:szCs w:val="24"/>
              </w:rPr>
            </w:pPr>
            <w:r w:rsidRPr="003C008A">
              <w:rPr>
                <w:rFonts w:ascii="DIN Pro Regular" w:hAnsi="DIN Pro Regular" w:cs="DIN Pro Regular"/>
                <w:b/>
                <w:bCs/>
                <w:sz w:val="24"/>
                <w:szCs w:val="24"/>
              </w:rPr>
              <w:t>Дальневосточный федеральный округ:</w:t>
            </w:r>
            <w:r w:rsidRPr="003C008A">
              <w:rPr>
                <w:rFonts w:ascii="DIN Pro Regular" w:hAnsi="DIN Pro Regular" w:cs="DIN Pro Regular"/>
                <w:b/>
                <w:bCs/>
                <w:sz w:val="24"/>
                <w:szCs w:val="24"/>
              </w:rPr>
              <w:tab/>
            </w:r>
          </w:p>
          <w:p w14:paraId="6DF31B4C" w14:textId="77777777" w:rsidR="00231B7A" w:rsidRPr="003C008A" w:rsidRDefault="00231B7A" w:rsidP="00327815">
            <w:pPr>
              <w:spacing w:line="360" w:lineRule="auto"/>
              <w:rPr>
                <w:rFonts w:ascii="DIN Pro Regular" w:hAnsi="DIN Pro Regular" w:cs="DIN Pro Regular"/>
                <w:sz w:val="24"/>
                <w:szCs w:val="24"/>
              </w:rPr>
            </w:pPr>
            <w:r w:rsidRPr="003C008A">
              <w:rPr>
                <w:rFonts w:ascii="DIN Pro Regular" w:hAnsi="DIN Pro Regular" w:cs="DIN Pro Regular"/>
                <w:sz w:val="24"/>
                <w:szCs w:val="24"/>
              </w:rPr>
              <w:t>– Хабаровск</w:t>
            </w:r>
          </w:p>
        </w:tc>
        <w:tc>
          <w:tcPr>
            <w:tcW w:w="4468" w:type="dxa"/>
          </w:tcPr>
          <w:p w14:paraId="226B34E9" w14:textId="77777777" w:rsidR="00231B7A" w:rsidRPr="003C008A" w:rsidRDefault="00231B7A" w:rsidP="00327815">
            <w:pPr>
              <w:spacing w:line="360" w:lineRule="auto"/>
              <w:ind w:left="-104" w:hanging="142"/>
              <w:jc w:val="center"/>
              <w:rPr>
                <w:rFonts w:ascii="DIN Pro Regular" w:hAnsi="DIN Pro Regular" w:cs="DIN Pro Regular"/>
                <w:b/>
                <w:bCs/>
                <w:sz w:val="24"/>
                <w:szCs w:val="24"/>
              </w:rPr>
            </w:pPr>
            <w:r>
              <w:rPr>
                <w:rFonts w:ascii="DIN Pro Regular" w:hAnsi="DIN Pro Regular" w:cs="DIN Pro Regular"/>
                <w:b/>
                <w:bCs/>
                <w:sz w:val="24"/>
                <w:szCs w:val="24"/>
              </w:rPr>
              <w:t>Девушки</w:t>
            </w:r>
          </w:p>
          <w:p w14:paraId="05D9A3B1" w14:textId="77777777" w:rsidR="00231B7A" w:rsidRPr="003C008A" w:rsidRDefault="00231B7A" w:rsidP="00327815">
            <w:pPr>
              <w:spacing w:line="360" w:lineRule="auto"/>
              <w:rPr>
                <w:rFonts w:ascii="DIN Pro Regular" w:hAnsi="DIN Pro Regular" w:cs="DIN Pro Regular"/>
                <w:b/>
                <w:sz w:val="24"/>
                <w:szCs w:val="24"/>
              </w:rPr>
            </w:pPr>
            <w:r w:rsidRPr="003C008A">
              <w:rPr>
                <w:rFonts w:ascii="DIN Pro Regular" w:hAnsi="DIN Pro Regular" w:cs="DIN Pro Regular"/>
                <w:b/>
                <w:sz w:val="24"/>
                <w:szCs w:val="24"/>
              </w:rPr>
              <w:t>Северо-Западный федеральный округ</w:t>
            </w:r>
          </w:p>
          <w:p w14:paraId="09697700" w14:textId="77777777" w:rsidR="00231B7A" w:rsidRPr="003C008A" w:rsidRDefault="00231B7A" w:rsidP="00327815">
            <w:pPr>
              <w:spacing w:line="360" w:lineRule="auto"/>
              <w:rPr>
                <w:rFonts w:ascii="DIN Pro Regular" w:hAnsi="DIN Pro Regular" w:cs="DIN Pro Regular"/>
                <w:sz w:val="24"/>
                <w:szCs w:val="24"/>
              </w:rPr>
            </w:pPr>
            <w:r w:rsidRPr="003C008A">
              <w:rPr>
                <w:rFonts w:ascii="DIN Pro Regular" w:hAnsi="DIN Pro Regular" w:cs="DIN Pro Regular"/>
                <w:sz w:val="24"/>
                <w:szCs w:val="24"/>
              </w:rPr>
              <w:t>- Калининградская область</w:t>
            </w:r>
          </w:p>
          <w:p w14:paraId="2E06E93B" w14:textId="77777777" w:rsidR="00231B7A" w:rsidRPr="003C008A" w:rsidRDefault="00231B7A" w:rsidP="00327815">
            <w:pPr>
              <w:spacing w:line="360" w:lineRule="auto"/>
              <w:ind w:right="324"/>
              <w:rPr>
                <w:rFonts w:ascii="DIN Pro Regular" w:hAnsi="DIN Pro Regular" w:cs="DIN Pro Regular"/>
                <w:sz w:val="24"/>
                <w:szCs w:val="24"/>
              </w:rPr>
            </w:pPr>
            <w:r w:rsidRPr="003C008A">
              <w:rPr>
                <w:rFonts w:ascii="DIN Pro Regular" w:hAnsi="DIN Pro Regular" w:cs="DIN Pro Regular"/>
                <w:sz w:val="24"/>
                <w:szCs w:val="24"/>
              </w:rPr>
              <w:t>- Санкт-Петербург</w:t>
            </w:r>
          </w:p>
          <w:p w14:paraId="5A2E590B" w14:textId="77777777" w:rsidR="00231B7A" w:rsidRPr="003C008A" w:rsidRDefault="00231B7A" w:rsidP="00327815">
            <w:pPr>
              <w:spacing w:line="360" w:lineRule="auto"/>
              <w:rPr>
                <w:rFonts w:ascii="DIN Pro Regular" w:hAnsi="DIN Pro Regular" w:cs="DIN Pro Regular"/>
                <w:b/>
                <w:sz w:val="24"/>
                <w:szCs w:val="24"/>
              </w:rPr>
            </w:pPr>
            <w:r w:rsidRPr="003C008A">
              <w:rPr>
                <w:rFonts w:ascii="DIN Pro Regular" w:hAnsi="DIN Pro Regular" w:cs="DIN Pro Regular"/>
                <w:b/>
                <w:sz w:val="24"/>
                <w:szCs w:val="24"/>
              </w:rPr>
              <w:t>Сибирский федеральный округ</w:t>
            </w:r>
          </w:p>
          <w:p w14:paraId="3F1AE851" w14:textId="77777777" w:rsidR="00231B7A" w:rsidRPr="003C008A" w:rsidRDefault="00231B7A" w:rsidP="00327815">
            <w:pPr>
              <w:spacing w:line="360" w:lineRule="auto"/>
              <w:rPr>
                <w:rFonts w:ascii="DIN Pro Regular" w:hAnsi="DIN Pro Regular" w:cs="DIN Pro Regular"/>
                <w:sz w:val="24"/>
                <w:szCs w:val="24"/>
              </w:rPr>
            </w:pPr>
            <w:r w:rsidRPr="003C008A">
              <w:rPr>
                <w:rFonts w:ascii="DIN Pro Regular" w:hAnsi="DIN Pro Regular" w:cs="DIN Pro Regular"/>
                <w:sz w:val="24"/>
                <w:szCs w:val="24"/>
              </w:rPr>
              <w:t>- Новосибирская область</w:t>
            </w:r>
          </w:p>
          <w:p w14:paraId="064F45CB" w14:textId="77777777" w:rsidR="00231B7A" w:rsidRPr="003C008A" w:rsidRDefault="00231B7A" w:rsidP="00327815">
            <w:pPr>
              <w:spacing w:line="360" w:lineRule="auto"/>
              <w:rPr>
                <w:rFonts w:ascii="DIN Pro Regular" w:hAnsi="DIN Pro Regular" w:cs="DIN Pro Regular"/>
                <w:sz w:val="24"/>
                <w:szCs w:val="24"/>
              </w:rPr>
            </w:pPr>
            <w:r w:rsidRPr="003C008A">
              <w:rPr>
                <w:rFonts w:ascii="DIN Pro Regular" w:hAnsi="DIN Pro Regular" w:cs="DIN Pro Regular"/>
                <w:sz w:val="24"/>
                <w:szCs w:val="24"/>
              </w:rPr>
              <w:t>- Красноярский край</w:t>
            </w:r>
          </w:p>
          <w:p w14:paraId="2A353279" w14:textId="77777777" w:rsidR="00231B7A" w:rsidRPr="003C008A" w:rsidRDefault="00231B7A" w:rsidP="00327815">
            <w:pPr>
              <w:spacing w:line="360" w:lineRule="auto"/>
              <w:rPr>
                <w:rFonts w:ascii="DIN Pro Regular" w:hAnsi="DIN Pro Regular" w:cs="DIN Pro Regular"/>
                <w:sz w:val="24"/>
                <w:szCs w:val="24"/>
              </w:rPr>
            </w:pPr>
            <w:r w:rsidRPr="003C008A">
              <w:rPr>
                <w:rFonts w:ascii="DIN Pro Regular" w:hAnsi="DIN Pro Regular" w:cs="DIN Pro Regular"/>
                <w:sz w:val="24"/>
                <w:szCs w:val="24"/>
              </w:rPr>
              <w:t>- Республика Хакасия</w:t>
            </w:r>
          </w:p>
          <w:p w14:paraId="55DE0880" w14:textId="77777777" w:rsidR="00231B7A" w:rsidRPr="003C008A" w:rsidRDefault="00231B7A" w:rsidP="00327815">
            <w:pPr>
              <w:spacing w:line="360" w:lineRule="auto"/>
              <w:rPr>
                <w:rFonts w:ascii="DIN Pro Regular" w:hAnsi="DIN Pro Regular" w:cs="DIN Pro Regular"/>
                <w:b/>
                <w:sz w:val="24"/>
                <w:szCs w:val="24"/>
              </w:rPr>
            </w:pPr>
            <w:r w:rsidRPr="003C008A">
              <w:rPr>
                <w:rFonts w:ascii="DIN Pro Regular" w:hAnsi="DIN Pro Regular" w:cs="DIN Pro Regular"/>
                <w:b/>
                <w:sz w:val="24"/>
                <w:szCs w:val="24"/>
              </w:rPr>
              <w:t>Уральский федеральный округ</w:t>
            </w:r>
          </w:p>
          <w:p w14:paraId="41F8E759" w14:textId="77777777" w:rsidR="00231B7A" w:rsidRPr="003C008A" w:rsidRDefault="00231B7A" w:rsidP="00327815">
            <w:pPr>
              <w:spacing w:line="360" w:lineRule="auto"/>
              <w:rPr>
                <w:rFonts w:ascii="DIN Pro Regular" w:hAnsi="DIN Pro Regular" w:cs="DIN Pro Regular"/>
                <w:sz w:val="24"/>
                <w:szCs w:val="24"/>
              </w:rPr>
            </w:pPr>
            <w:r w:rsidRPr="003C008A">
              <w:rPr>
                <w:rFonts w:ascii="DIN Pro Regular" w:hAnsi="DIN Pro Regular" w:cs="DIN Pro Regular"/>
                <w:sz w:val="24"/>
                <w:szCs w:val="24"/>
              </w:rPr>
              <w:t>- Челябинская область</w:t>
            </w:r>
          </w:p>
          <w:p w14:paraId="04D01ACD" w14:textId="77777777" w:rsidR="00231B7A" w:rsidRPr="003C008A" w:rsidRDefault="00231B7A" w:rsidP="00327815">
            <w:pPr>
              <w:spacing w:line="360" w:lineRule="auto"/>
              <w:rPr>
                <w:rFonts w:ascii="DIN Pro Regular" w:hAnsi="DIN Pro Regular" w:cs="DIN Pro Regular"/>
                <w:b/>
                <w:sz w:val="24"/>
                <w:szCs w:val="24"/>
              </w:rPr>
            </w:pPr>
            <w:r w:rsidRPr="003C008A">
              <w:rPr>
                <w:rFonts w:ascii="DIN Pro Regular" w:hAnsi="DIN Pro Regular" w:cs="DIN Pro Regular"/>
                <w:b/>
                <w:sz w:val="24"/>
                <w:szCs w:val="24"/>
              </w:rPr>
              <w:t>Приволжский федеральный округ</w:t>
            </w:r>
          </w:p>
          <w:p w14:paraId="3EA0D94E" w14:textId="77777777" w:rsidR="00231B7A" w:rsidRPr="003C008A" w:rsidRDefault="00231B7A" w:rsidP="00327815">
            <w:pPr>
              <w:spacing w:line="360" w:lineRule="auto"/>
              <w:rPr>
                <w:rFonts w:ascii="DIN Pro Regular" w:hAnsi="DIN Pro Regular" w:cs="DIN Pro Regular"/>
                <w:sz w:val="24"/>
                <w:szCs w:val="24"/>
              </w:rPr>
            </w:pPr>
            <w:r w:rsidRPr="003C008A">
              <w:rPr>
                <w:rFonts w:ascii="DIN Pro Regular" w:hAnsi="DIN Pro Regular" w:cs="DIN Pro Regular"/>
                <w:sz w:val="24"/>
                <w:szCs w:val="24"/>
              </w:rPr>
              <w:t>- Республика Башкортостан</w:t>
            </w:r>
          </w:p>
          <w:p w14:paraId="3BBD4CF8" w14:textId="77777777" w:rsidR="00231B7A" w:rsidRPr="003C008A" w:rsidRDefault="00231B7A" w:rsidP="00327815">
            <w:pPr>
              <w:spacing w:line="360" w:lineRule="auto"/>
              <w:rPr>
                <w:rFonts w:ascii="DIN Pro Regular" w:hAnsi="DIN Pro Regular" w:cs="DIN Pro Regular"/>
                <w:sz w:val="24"/>
                <w:szCs w:val="24"/>
              </w:rPr>
            </w:pPr>
            <w:r w:rsidRPr="003C008A">
              <w:rPr>
                <w:rFonts w:ascii="DIN Pro Regular" w:hAnsi="DIN Pro Regular" w:cs="DIN Pro Regular"/>
                <w:sz w:val="24"/>
                <w:szCs w:val="24"/>
              </w:rPr>
              <w:t>- Республика Удмуртия</w:t>
            </w:r>
          </w:p>
          <w:p w14:paraId="683E9272" w14:textId="77777777" w:rsidR="00231B7A" w:rsidRPr="003C008A" w:rsidRDefault="00231B7A" w:rsidP="00327815">
            <w:pPr>
              <w:spacing w:line="360" w:lineRule="auto"/>
              <w:rPr>
                <w:rFonts w:ascii="DIN Pro Regular" w:hAnsi="DIN Pro Regular" w:cs="DIN Pro Regular"/>
                <w:b/>
                <w:sz w:val="24"/>
                <w:szCs w:val="24"/>
              </w:rPr>
            </w:pPr>
            <w:r w:rsidRPr="003C008A">
              <w:rPr>
                <w:rFonts w:ascii="DIN Pro Regular" w:hAnsi="DIN Pro Regular" w:cs="DIN Pro Regular"/>
                <w:b/>
                <w:sz w:val="24"/>
                <w:szCs w:val="24"/>
              </w:rPr>
              <w:t>Дальневосточный федеральный округ</w:t>
            </w:r>
          </w:p>
          <w:p w14:paraId="4384FCC6" w14:textId="77777777" w:rsidR="00231B7A" w:rsidRPr="003C008A" w:rsidRDefault="00231B7A" w:rsidP="00327815">
            <w:pPr>
              <w:spacing w:line="360" w:lineRule="auto"/>
              <w:rPr>
                <w:rFonts w:ascii="DIN Pro Regular" w:hAnsi="DIN Pro Regular" w:cs="DIN Pro Regular"/>
                <w:sz w:val="24"/>
                <w:szCs w:val="24"/>
              </w:rPr>
            </w:pPr>
            <w:r w:rsidRPr="003C008A">
              <w:rPr>
                <w:rFonts w:ascii="DIN Pro Regular" w:hAnsi="DIN Pro Regular" w:cs="DIN Pro Regular"/>
                <w:sz w:val="24"/>
                <w:szCs w:val="24"/>
              </w:rPr>
              <w:t>- Амурская область</w:t>
            </w:r>
          </w:p>
          <w:p w14:paraId="5FE21E35" w14:textId="77777777" w:rsidR="00231B7A" w:rsidRPr="003C008A" w:rsidRDefault="00231B7A" w:rsidP="00327815">
            <w:pPr>
              <w:spacing w:line="360" w:lineRule="auto"/>
              <w:rPr>
                <w:rFonts w:ascii="DIN Pro Regular" w:hAnsi="DIN Pro Regular" w:cs="DIN Pro Regular"/>
                <w:sz w:val="24"/>
                <w:szCs w:val="24"/>
              </w:rPr>
            </w:pPr>
            <w:r w:rsidRPr="003C008A">
              <w:rPr>
                <w:rFonts w:ascii="DIN Pro Regular" w:hAnsi="DIN Pro Regular" w:cs="DIN Pro Regular"/>
                <w:sz w:val="24"/>
                <w:szCs w:val="24"/>
              </w:rPr>
              <w:t>- Республика Саха</w:t>
            </w:r>
          </w:p>
          <w:p w14:paraId="00ADAEC6" w14:textId="77777777" w:rsidR="00231B7A" w:rsidRPr="003C008A" w:rsidRDefault="00231B7A" w:rsidP="00327815">
            <w:pPr>
              <w:spacing w:line="360" w:lineRule="auto"/>
              <w:rPr>
                <w:rFonts w:ascii="DIN Pro Regular" w:hAnsi="DIN Pro Regular" w:cs="DIN Pro Regular"/>
                <w:sz w:val="24"/>
                <w:szCs w:val="24"/>
              </w:rPr>
            </w:pPr>
            <w:r w:rsidRPr="003C008A">
              <w:rPr>
                <w:rFonts w:ascii="DIN Pro Regular" w:hAnsi="DIN Pro Regular" w:cs="DIN Pro Regular"/>
                <w:sz w:val="24"/>
                <w:szCs w:val="24"/>
              </w:rPr>
              <w:t>- Сахалинская область</w:t>
            </w:r>
          </w:p>
          <w:p w14:paraId="22169B67" w14:textId="77777777" w:rsidR="00231B7A" w:rsidRPr="008F64A7" w:rsidRDefault="00231B7A" w:rsidP="00327815">
            <w:pPr>
              <w:spacing w:line="360" w:lineRule="auto"/>
              <w:rPr>
                <w:rFonts w:ascii="DIN Pro Regular" w:hAnsi="DIN Pro Regular" w:cs="DIN Pro Regular"/>
                <w:b/>
                <w:sz w:val="24"/>
                <w:szCs w:val="24"/>
              </w:rPr>
            </w:pPr>
            <w:r w:rsidRPr="008F64A7">
              <w:rPr>
                <w:rFonts w:ascii="DIN Pro Regular" w:hAnsi="DIN Pro Regular" w:cs="DIN Pro Regular"/>
                <w:b/>
                <w:sz w:val="24"/>
                <w:szCs w:val="24"/>
              </w:rPr>
              <w:t>Южный федеральный округ</w:t>
            </w:r>
          </w:p>
          <w:p w14:paraId="58547E1B" w14:textId="77777777" w:rsidR="00231B7A" w:rsidRPr="003C008A" w:rsidRDefault="00231B7A" w:rsidP="00327815">
            <w:pPr>
              <w:spacing w:line="360" w:lineRule="auto"/>
              <w:rPr>
                <w:rFonts w:ascii="DIN Pro Regular" w:hAnsi="DIN Pro Regular" w:cs="DIN Pro Regular"/>
                <w:sz w:val="24"/>
                <w:szCs w:val="24"/>
              </w:rPr>
            </w:pPr>
            <w:r w:rsidRPr="003C008A">
              <w:rPr>
                <w:rFonts w:ascii="DIN Pro Regular" w:hAnsi="DIN Pro Regular" w:cs="DIN Pro Regular"/>
                <w:sz w:val="24"/>
                <w:szCs w:val="24"/>
              </w:rPr>
              <w:t>- Краснодарский край</w:t>
            </w:r>
          </w:p>
        </w:tc>
      </w:tr>
    </w:tbl>
    <w:p w14:paraId="33A1B30A" w14:textId="77777777" w:rsidR="00231B7A" w:rsidRPr="00A60FDB" w:rsidRDefault="00231B7A" w:rsidP="00231B7A">
      <w:pPr>
        <w:spacing w:after="0" w:line="360" w:lineRule="auto"/>
        <w:ind w:right="708"/>
        <w:jc w:val="both"/>
        <w:rPr>
          <w:rFonts w:ascii="DIN Pro Regular" w:hAnsi="DIN Pro Regular" w:cs="DIN Pro Regular"/>
          <w:sz w:val="28"/>
          <w:szCs w:val="28"/>
        </w:rPr>
      </w:pPr>
      <w:r>
        <w:rPr>
          <w:rFonts w:ascii="DIN Pro Regular" w:hAnsi="DIN Pro Regular" w:cs="DIN Pro Regular"/>
          <w:sz w:val="28"/>
          <w:szCs w:val="28"/>
        </w:rPr>
        <w:lastRenderedPageBreak/>
        <w:t>17 января состоится официальная жеребьевка команд-участниц. На предварительном этапе они поделятся</w:t>
      </w:r>
      <w:r w:rsidRPr="00A60FDB">
        <w:rPr>
          <w:rFonts w:ascii="DIN Pro Regular" w:hAnsi="DIN Pro Regular" w:cs="DIN Pro Regular"/>
          <w:sz w:val="28"/>
          <w:szCs w:val="28"/>
        </w:rPr>
        <w:t xml:space="preserve"> на две подгруппы</w:t>
      </w:r>
      <w:r>
        <w:rPr>
          <w:rFonts w:ascii="DIN Pro Regular" w:hAnsi="DIN Pro Regular" w:cs="DIN Pro Regular"/>
          <w:sz w:val="28"/>
          <w:szCs w:val="28"/>
        </w:rPr>
        <w:t xml:space="preserve"> по шесть команд в каждой -</w:t>
      </w:r>
      <w:r w:rsidRPr="00A60FDB">
        <w:rPr>
          <w:rFonts w:ascii="DIN Pro Regular" w:hAnsi="DIN Pro Regular" w:cs="DIN Pro Regular"/>
          <w:sz w:val="28"/>
          <w:szCs w:val="28"/>
        </w:rPr>
        <w:t xml:space="preserve"> «А» и «Б». Игры в подгруппах про</w:t>
      </w:r>
      <w:r>
        <w:rPr>
          <w:rFonts w:ascii="DIN Pro Regular" w:hAnsi="DIN Pro Regular" w:cs="DIN Pro Regular"/>
          <w:sz w:val="28"/>
          <w:szCs w:val="28"/>
        </w:rPr>
        <w:t xml:space="preserve">йдут </w:t>
      </w:r>
      <w:r w:rsidRPr="00A60FDB">
        <w:rPr>
          <w:rFonts w:ascii="DIN Pro Regular" w:hAnsi="DIN Pro Regular" w:cs="DIN Pro Regular"/>
          <w:sz w:val="28"/>
          <w:szCs w:val="28"/>
        </w:rPr>
        <w:t xml:space="preserve">по круговой системе. Команды, занявшие 1-4 места в подгруппах, по схеме «крест» играют в четвертьфинальных матчах. Победители четвертьфинальных матчей выходят в полуфинал. Победители полуфинальных матчей разыгрывают 1-е и 2-е место. </w:t>
      </w:r>
    </w:p>
    <w:p w14:paraId="0D0CC128" w14:textId="6A272163" w:rsidR="00320AA7" w:rsidRPr="00A60FDB" w:rsidRDefault="00320AA7" w:rsidP="003C008A">
      <w:pPr>
        <w:spacing w:after="0" w:line="360" w:lineRule="auto"/>
        <w:ind w:right="708"/>
        <w:jc w:val="both"/>
        <w:rPr>
          <w:rFonts w:ascii="DIN Pro Regular" w:hAnsi="DIN Pro Regular" w:cs="DIN Pro Regular"/>
          <w:sz w:val="28"/>
          <w:szCs w:val="28"/>
        </w:rPr>
      </w:pPr>
      <w:r w:rsidRPr="00A60FDB">
        <w:rPr>
          <w:rFonts w:ascii="DIN Pro Regular" w:hAnsi="DIN Pro Regular" w:cs="DIN Pro Regular"/>
          <w:sz w:val="28"/>
          <w:szCs w:val="28"/>
        </w:rPr>
        <w:t xml:space="preserve"> </w:t>
      </w:r>
    </w:p>
    <w:p w14:paraId="48555B8D" w14:textId="4351CF31" w:rsidR="00A60FDB" w:rsidRPr="00A60FDB" w:rsidRDefault="00A60FDB" w:rsidP="0077310D">
      <w:pPr>
        <w:spacing w:after="0" w:line="360" w:lineRule="auto"/>
        <w:ind w:right="566" w:firstLine="284"/>
        <w:jc w:val="both"/>
        <w:rPr>
          <w:rFonts w:ascii="DIN Pro Regular" w:hAnsi="DIN Pro Regular" w:cs="DIN Pro Regular"/>
          <w:sz w:val="28"/>
          <w:szCs w:val="28"/>
        </w:rPr>
      </w:pPr>
    </w:p>
    <w:sectPr w:rsidR="00A60FDB" w:rsidRPr="00A60FDB" w:rsidSect="00B55A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92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69B24" w14:textId="77777777" w:rsidR="006B08DD" w:rsidRDefault="006B08DD" w:rsidP="001C4D64">
      <w:pPr>
        <w:spacing w:after="0" w:line="240" w:lineRule="auto"/>
      </w:pPr>
      <w:r>
        <w:separator/>
      </w:r>
    </w:p>
  </w:endnote>
  <w:endnote w:type="continuationSeparator" w:id="0">
    <w:p w14:paraId="5657F438" w14:textId="77777777" w:rsidR="006B08DD" w:rsidRDefault="006B08DD" w:rsidP="001C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IN Pro Regular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E139B" w14:textId="47ABEE41" w:rsidR="001C6739" w:rsidRDefault="009A5F22">
    <w:pPr>
      <w:pStyle w:val="a5"/>
    </w:pPr>
    <w:r>
      <w:rPr>
        <w:noProof/>
        <w:lang w:eastAsia="ru-RU"/>
      </w:rPr>
      <w:drawing>
        <wp:anchor distT="0" distB="0" distL="114300" distR="114300" simplePos="0" relativeHeight="251703296" behindDoc="1" locked="0" layoutInCell="1" allowOverlap="1" wp14:anchorId="1ED5BA6D" wp14:editId="18AE4297">
          <wp:simplePos x="0" y="0"/>
          <wp:positionH relativeFrom="page">
            <wp:posOffset>-608874</wp:posOffset>
          </wp:positionH>
          <wp:positionV relativeFrom="paragraph">
            <wp:posOffset>-3459752</wp:posOffset>
          </wp:positionV>
          <wp:extent cx="1642291" cy="4950294"/>
          <wp:effectExtent l="0" t="0" r="0" b="3175"/>
          <wp:wrapNone/>
          <wp:docPr id="22" name="Рисунок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291" cy="4950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44928" behindDoc="1" locked="0" layoutInCell="1" allowOverlap="1" wp14:anchorId="28C71269" wp14:editId="565E0A87">
          <wp:simplePos x="0" y="0"/>
          <wp:positionH relativeFrom="rightMargin">
            <wp:posOffset>-434249</wp:posOffset>
          </wp:positionH>
          <wp:positionV relativeFrom="paragraph">
            <wp:posOffset>-3449047</wp:posOffset>
          </wp:positionV>
          <wp:extent cx="1597479" cy="4813848"/>
          <wp:effectExtent l="0" t="0" r="3175" b="6350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479" cy="4813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2430"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6B13DE42" wp14:editId="521D0E45">
          <wp:simplePos x="0" y="0"/>
          <wp:positionH relativeFrom="page">
            <wp:posOffset>3958944</wp:posOffset>
          </wp:positionH>
          <wp:positionV relativeFrom="paragraph">
            <wp:posOffset>3194139</wp:posOffset>
          </wp:positionV>
          <wp:extent cx="4410000" cy="13287600"/>
          <wp:effectExtent l="0" t="0" r="0" b="0"/>
          <wp:wrapNone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00" cy="132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5212FC" w14:textId="1083D0D7" w:rsidR="001C6739" w:rsidRDefault="001C67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6A81" w14:textId="6102F51B" w:rsidR="009A5F22" w:rsidRDefault="009A5F22">
    <w:pPr>
      <w:pStyle w:val="a5"/>
    </w:pPr>
    <w:r>
      <w:rPr>
        <w:noProof/>
        <w:lang w:eastAsia="ru-RU"/>
      </w:rPr>
      <w:drawing>
        <wp:anchor distT="0" distB="0" distL="114300" distR="114300" simplePos="0" relativeHeight="251611136" behindDoc="1" locked="0" layoutInCell="1" allowOverlap="1" wp14:anchorId="7305C4F3" wp14:editId="29EC864B">
          <wp:simplePos x="0" y="0"/>
          <wp:positionH relativeFrom="leftMargin">
            <wp:align>right</wp:align>
          </wp:positionH>
          <wp:positionV relativeFrom="paragraph">
            <wp:posOffset>-4194934</wp:posOffset>
          </wp:positionV>
          <wp:extent cx="1808480" cy="5451475"/>
          <wp:effectExtent l="0" t="0" r="1270" b="0"/>
          <wp:wrapNone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8480" cy="545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707392" behindDoc="1" locked="0" layoutInCell="1" allowOverlap="1" wp14:anchorId="47028B0B" wp14:editId="3B549C6B">
          <wp:simplePos x="0" y="0"/>
          <wp:positionH relativeFrom="rightMargin">
            <wp:posOffset>-401320</wp:posOffset>
          </wp:positionH>
          <wp:positionV relativeFrom="paragraph">
            <wp:posOffset>-3692525</wp:posOffset>
          </wp:positionV>
          <wp:extent cx="1597479" cy="4813848"/>
          <wp:effectExtent l="0" t="0" r="3175" b="6350"/>
          <wp:wrapNone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479" cy="4813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B8E9F" w14:textId="77777777" w:rsidR="006B08DD" w:rsidRDefault="006B08DD" w:rsidP="001C4D64">
      <w:pPr>
        <w:spacing w:after="0" w:line="240" w:lineRule="auto"/>
      </w:pPr>
      <w:r>
        <w:separator/>
      </w:r>
    </w:p>
  </w:footnote>
  <w:footnote w:type="continuationSeparator" w:id="0">
    <w:p w14:paraId="1F64929B" w14:textId="77777777" w:rsidR="006B08DD" w:rsidRDefault="006B08DD" w:rsidP="001C4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DFB1A" w14:textId="79B73CCA" w:rsidR="00B92430" w:rsidRDefault="00B55A5D" w:rsidP="0077310D">
    <w:pPr>
      <w:pStyle w:val="a3"/>
      <w:ind w:left="-709"/>
    </w:pPr>
    <w:r>
      <w:rPr>
        <w:rFonts w:ascii="DIN Pro Regular" w:hAnsi="DIN Pro Regular" w:cs="DIN Pro Regular"/>
        <w:b/>
        <w:bCs/>
        <w:noProof/>
        <w:sz w:val="28"/>
        <w:szCs w:val="28"/>
        <w:lang w:eastAsia="ru-RU"/>
      </w:rPr>
      <w:drawing>
        <wp:anchor distT="0" distB="0" distL="114300" distR="114300" simplePos="0" relativeHeight="251697152" behindDoc="0" locked="0" layoutInCell="1" allowOverlap="1" wp14:anchorId="02004279" wp14:editId="6AC0B723">
          <wp:simplePos x="0" y="0"/>
          <wp:positionH relativeFrom="column">
            <wp:posOffset>2163808</wp:posOffset>
          </wp:positionH>
          <wp:positionV relativeFrom="paragraph">
            <wp:posOffset>-25037</wp:posOffset>
          </wp:positionV>
          <wp:extent cx="1051478" cy="1033830"/>
          <wp:effectExtent l="0" t="0" r="0" b="0"/>
          <wp:wrapTopAndBottom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478" cy="1033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183BB8" w14:textId="0F221ABA" w:rsidR="00B92430" w:rsidRDefault="00B924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4B23D" w14:textId="69558981" w:rsidR="00B55A5D" w:rsidRDefault="00B55A5D">
    <w:pPr>
      <w:pStyle w:val="a3"/>
    </w:pPr>
    <w:r>
      <w:rPr>
        <w:noProof/>
        <w:lang w:eastAsia="ru-RU"/>
      </w:rPr>
      <w:drawing>
        <wp:anchor distT="0" distB="0" distL="114300" distR="114300" simplePos="0" relativeHeight="251694080" behindDoc="0" locked="0" layoutInCell="1" allowOverlap="1" wp14:anchorId="62C357D5" wp14:editId="1D68B675">
          <wp:simplePos x="0" y="0"/>
          <wp:positionH relativeFrom="margin">
            <wp:posOffset>0</wp:posOffset>
          </wp:positionH>
          <wp:positionV relativeFrom="paragraph">
            <wp:posOffset>669290</wp:posOffset>
          </wp:positionV>
          <wp:extent cx="829310" cy="829310"/>
          <wp:effectExtent l="0" t="0" r="8890" b="8890"/>
          <wp:wrapTopAndBottom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71552" behindDoc="1" locked="0" layoutInCell="1" allowOverlap="1" wp14:anchorId="5CDE39E8" wp14:editId="08450A4A">
          <wp:simplePos x="0" y="0"/>
          <wp:positionH relativeFrom="margin">
            <wp:posOffset>4698365</wp:posOffset>
          </wp:positionH>
          <wp:positionV relativeFrom="paragraph">
            <wp:posOffset>589461</wp:posOffset>
          </wp:positionV>
          <wp:extent cx="829374" cy="872282"/>
          <wp:effectExtent l="0" t="0" r="8890" b="4445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74" cy="872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37760" behindDoc="1" locked="0" layoutInCell="1" allowOverlap="1" wp14:anchorId="6020728E" wp14:editId="1B2A04C7">
          <wp:simplePos x="0" y="0"/>
          <wp:positionH relativeFrom="margin">
            <wp:posOffset>2357302</wp:posOffset>
          </wp:positionH>
          <wp:positionV relativeFrom="paragraph">
            <wp:posOffset>236220</wp:posOffset>
          </wp:positionV>
          <wp:extent cx="1088571" cy="484856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88571" cy="484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A7"/>
    <w:rsid w:val="000A2F97"/>
    <w:rsid w:val="001249B5"/>
    <w:rsid w:val="00155387"/>
    <w:rsid w:val="00156289"/>
    <w:rsid w:val="001C4D64"/>
    <w:rsid w:val="001C6739"/>
    <w:rsid w:val="001E3137"/>
    <w:rsid w:val="001E6F25"/>
    <w:rsid w:val="001F6A15"/>
    <w:rsid w:val="00231B7A"/>
    <w:rsid w:val="00251890"/>
    <w:rsid w:val="00303FCD"/>
    <w:rsid w:val="00306424"/>
    <w:rsid w:val="00320AA7"/>
    <w:rsid w:val="003C008A"/>
    <w:rsid w:val="003E58F6"/>
    <w:rsid w:val="00404B55"/>
    <w:rsid w:val="0045422A"/>
    <w:rsid w:val="00483FB5"/>
    <w:rsid w:val="004C26B1"/>
    <w:rsid w:val="005A5BD3"/>
    <w:rsid w:val="005C6E5A"/>
    <w:rsid w:val="005E7D42"/>
    <w:rsid w:val="0060677F"/>
    <w:rsid w:val="00632245"/>
    <w:rsid w:val="00681277"/>
    <w:rsid w:val="006B08DD"/>
    <w:rsid w:val="00714F33"/>
    <w:rsid w:val="00727269"/>
    <w:rsid w:val="0077310D"/>
    <w:rsid w:val="00774EFF"/>
    <w:rsid w:val="00810969"/>
    <w:rsid w:val="00836953"/>
    <w:rsid w:val="008F64A7"/>
    <w:rsid w:val="008F7F27"/>
    <w:rsid w:val="00937A7A"/>
    <w:rsid w:val="009A5F22"/>
    <w:rsid w:val="00A60FDB"/>
    <w:rsid w:val="00A9036A"/>
    <w:rsid w:val="00AC53FF"/>
    <w:rsid w:val="00AE3140"/>
    <w:rsid w:val="00B55A5D"/>
    <w:rsid w:val="00B80E95"/>
    <w:rsid w:val="00B82BB7"/>
    <w:rsid w:val="00B92430"/>
    <w:rsid w:val="00BF205C"/>
    <w:rsid w:val="00BF4445"/>
    <w:rsid w:val="00CE4A62"/>
    <w:rsid w:val="00D63A4A"/>
    <w:rsid w:val="00E72E9F"/>
    <w:rsid w:val="00E93125"/>
    <w:rsid w:val="00EB41D9"/>
    <w:rsid w:val="00EB792B"/>
    <w:rsid w:val="00EC1C78"/>
    <w:rsid w:val="00F1122D"/>
    <w:rsid w:val="00F17AD4"/>
    <w:rsid w:val="00F60568"/>
    <w:rsid w:val="00F950E5"/>
    <w:rsid w:val="00FC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AE1C4"/>
  <w15:docId w15:val="{415E5D00-CA44-40F0-A41B-9EFB8CD2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4D64"/>
  </w:style>
  <w:style w:type="paragraph" w:styleId="a5">
    <w:name w:val="footer"/>
    <w:basedOn w:val="a"/>
    <w:link w:val="a6"/>
    <w:uiPriority w:val="99"/>
    <w:unhideWhenUsed/>
    <w:rsid w:val="001C4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4D64"/>
  </w:style>
  <w:style w:type="paragraph" w:styleId="a7">
    <w:name w:val="Balloon Text"/>
    <w:basedOn w:val="a"/>
    <w:link w:val="a8"/>
    <w:uiPriority w:val="99"/>
    <w:semiHidden/>
    <w:unhideWhenUsed/>
    <w:rsid w:val="0025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89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3C0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633F2-1E4B-4E85-B23C-34F83E2B0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</dc:creator>
  <cp:keywords/>
  <dc:description/>
  <cp:lastModifiedBy>Иван</cp:lastModifiedBy>
  <cp:revision>2</cp:revision>
  <cp:lastPrinted>2021-12-05T04:17:00Z</cp:lastPrinted>
  <dcterms:created xsi:type="dcterms:W3CDTF">2021-12-05T04:18:00Z</dcterms:created>
  <dcterms:modified xsi:type="dcterms:W3CDTF">2021-12-05T04:18:00Z</dcterms:modified>
</cp:coreProperties>
</file>